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Отделение Вологда,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урсы повышения квалификации преподавателей по дополнительной профессиональной программе повышения квалификации «Теоретические и практические аспекты образовательной деятельности в сфере культуры и искусства»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926437" w:rsidRPr="00926437">
              <w:rPr>
                <w:rFonts w:ascii="Times New Roman" w:hAnsi="Times New Roman"/>
                <w:b/>
                <w:sz w:val="24"/>
                <w:szCs w:val="24"/>
              </w:rPr>
              <w:t>Баян/Аккордеон/Гармонь</w:t>
            </w:r>
            <w:r w:rsidR="0032000E" w:rsidRPr="009264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A70" w:rsidRPr="00A479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6A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26437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57563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36D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000E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63C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0DE5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51E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26437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0825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BA7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BA3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625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Metod01</cp:lastModifiedBy>
  <cp:revision>20</cp:revision>
  <cp:lastPrinted>2018-09-27T13:37:00Z</cp:lastPrinted>
  <dcterms:created xsi:type="dcterms:W3CDTF">2018-01-15T07:29:00Z</dcterms:created>
  <dcterms:modified xsi:type="dcterms:W3CDTF">2019-03-25T13:47:00Z</dcterms:modified>
</cp:coreProperties>
</file>